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Calibri" w:hAnsi="Calibri"/>
          <w:b/>
          <w:i w:val="0"/>
          <w:color w:val="17365D"/>
          <w:sz w:val="50"/>
        </w:rPr>
        <w:t>DON BOSCO PRASHANTH</w:t>
      </w:r>
    </w:p>
    <w:p>
      <w:pPr>
        <w:spacing w:after="80"/>
      </w:pPr>
      <w:r>
        <w:rPr>
          <w:rFonts w:ascii="Calibri" w:hAnsi="Calibri"/>
          <w:b/>
          <w:i w:val="0"/>
          <w:color w:val="2E74B5"/>
          <w:sz w:val="20"/>
        </w:rPr>
        <w:t>IT PROFESSIONAL  •  EDUCATOR  •  RESEARCHER  •  SYSTEM ARCHITECT</w:t>
      </w:r>
    </w:p>
    <w:p>
      <w:pPr>
        <w:spacing w:after="60"/>
      </w:pPr>
      <w:r>
        <w:rPr>
          <w:rFonts w:ascii="Calibri" w:hAnsi="Calibri"/>
          <w:b/>
          <w:i w:val="0"/>
          <w:color w:val="5F6B78"/>
          <w:sz w:val="18"/>
        </w:rPr>
        <w:t>M.Sc. in IT (UOM-SL)  |  PGDip in PPE (OUSL)  |  B.Sc. (Hons) Computing (UK)  |  B.A.  |  MBCS  |  CSSL  |  AACS</w:t>
      </w:r>
    </w:p>
    <w:p>
      <w:pPr>
        <w:spacing w:after="140"/>
      </w:pPr>
      <w:r>
        <w:rPr>
          <w:rFonts w:ascii="Calibri" w:hAnsi="Calibri"/>
          <w:b/>
          <w:i w:val="0"/>
          <w:color w:val="17365D"/>
          <w:sz w:val="19"/>
        </w:rPr>
        <w:t xml:space="preserve">Email: </w:t>
      </w:r>
      <w:r>
        <w:rPr>
          <w:rFonts w:ascii="Calibri" w:hAnsi="Calibri"/>
          <w:b w:val="0"/>
          <w:i w:val="0"/>
          <w:color w:val="222222"/>
          <w:sz w:val="19"/>
        </w:rPr>
        <w:t>prashanthdb.ac@gmail.com</w:t>
      </w:r>
      <w:r>
        <w:rPr>
          <w:rFonts w:ascii="Calibri" w:hAnsi="Calibri"/>
          <w:b/>
          <w:i w:val="0"/>
          <w:color w:val="17365D"/>
          <w:sz w:val="19"/>
        </w:rPr>
        <w:t xml:space="preserve">   |   Mobile: </w:t>
      </w:r>
      <w:r>
        <w:rPr>
          <w:rFonts w:ascii="Calibri" w:hAnsi="Calibri"/>
          <w:b w:val="0"/>
          <w:i w:val="0"/>
          <w:color w:val="222222"/>
          <w:sz w:val="19"/>
        </w:rPr>
        <w:t>+94 777 177 201</w:t>
      </w:r>
    </w:p>
    <w:p>
      <w:pPr>
        <w:spacing w:after="140"/>
        <w:pBdr>
          <w:bottom w:val="single" w:sz="14" w:space="1" w:color="2E74B5"/>
        </w:pBdr>
      </w:pPr>
    </w:p>
    <w:p>
      <w:pPr>
        <w:pStyle w:val="Heading1"/>
        <w:keepNext/>
      </w:pPr>
      <w:r>
        <w:t>PROFESSIONAL PROFILE</w:t>
      </w:r>
    </w:p>
    <w:p>
      <w:pPr>
        <w:spacing w:after="80" w:line="276" w:lineRule="auto"/>
      </w:pPr>
      <w:r>
        <w:rPr>
          <w:rFonts w:ascii="Calibri" w:hAnsi="Calibri"/>
          <w:b w:val="0"/>
          <w:i w:val="0"/>
          <w:color w:val="222222"/>
          <w:sz w:val="19"/>
        </w:rPr>
        <w:t>Versatile IT professional, educator, researcher, system architect, and technology lead with experience spanning public-sector digital transformation, software engineering, education technology, data science, network administration, and higher education. Recognized for translating complex institutional needs into practical digital systems, building user capability, and applying AI and analytics to improve public service and educational outcomes. Honest, disciplined, collaborative, and committed to continuous learning.</w:t>
      </w:r>
    </w:p>
    <w:p>
      <w:pPr>
        <w:pStyle w:val="Heading1"/>
        <w:keepNext/>
      </w:pPr>
      <w:r>
        <w:t>CORE EXPERTISE</w:t>
      </w:r>
    </w:p>
    <w:p>
      <w:pPr>
        <w:spacing w:after="28" w:line="269" w:lineRule="auto"/>
        <w:ind w:left="540" w:hanging="271"/>
        <w:numPr>
          <w:ilvl w:val="0"/>
          <w:numId w:val="42"/>
        </w:numPr>
      </w:pPr>
      <w:r>
        <w:rPr>
          <w:rFonts w:ascii="Calibri" w:hAnsi="Calibri"/>
          <w:b w:val="0"/>
          <w:i w:val="0"/>
          <w:color w:val="222222"/>
          <w:sz w:val="19"/>
        </w:rPr>
        <w:t>System architecture, software engineering, database-backed applications, and technical leadership</w:t>
      </w:r>
    </w:p>
    <w:p>
      <w:pPr>
        <w:spacing w:after="28" w:line="269" w:lineRule="auto"/>
        <w:ind w:left="540" w:hanging="271"/>
        <w:numPr>
          <w:ilvl w:val="0"/>
          <w:numId w:val="42"/>
        </w:numPr>
      </w:pPr>
      <w:r>
        <w:rPr>
          <w:rFonts w:ascii="Calibri" w:hAnsi="Calibri"/>
          <w:b w:val="0"/>
          <w:i w:val="0"/>
          <w:color w:val="222222"/>
          <w:sz w:val="19"/>
        </w:rPr>
        <w:t>Education management platforms, public-sector workflow automation, and digital transformation</w:t>
      </w:r>
    </w:p>
    <w:p>
      <w:pPr>
        <w:spacing w:after="28" w:line="269" w:lineRule="auto"/>
        <w:ind w:left="540" w:hanging="271"/>
        <w:numPr>
          <w:ilvl w:val="0"/>
          <w:numId w:val="42"/>
        </w:numPr>
      </w:pPr>
      <w:r>
        <w:rPr>
          <w:rFonts w:ascii="Calibri" w:hAnsi="Calibri"/>
          <w:b w:val="0"/>
          <w:i w:val="0"/>
          <w:color w:val="222222"/>
          <w:sz w:val="19"/>
        </w:rPr>
        <w:t>Applied AI, machine learning, natural language processing, data science, and predictive analytics</w:t>
      </w:r>
    </w:p>
    <w:p>
      <w:pPr>
        <w:spacing w:after="28" w:line="269" w:lineRule="auto"/>
        <w:ind w:left="540" w:hanging="271"/>
        <w:numPr>
          <w:ilvl w:val="0"/>
          <w:numId w:val="42"/>
        </w:numPr>
      </w:pPr>
      <w:r>
        <w:rPr>
          <w:rFonts w:ascii="Calibri" w:hAnsi="Calibri"/>
          <w:b w:val="0"/>
          <w:i w:val="0"/>
          <w:color w:val="222222"/>
          <w:sz w:val="19"/>
        </w:rPr>
        <w:t>Higher-education teaching, curriculum development, mentoring, workshops, and user training</w:t>
      </w:r>
    </w:p>
    <w:p>
      <w:pPr>
        <w:spacing w:after="28" w:line="269" w:lineRule="auto"/>
        <w:ind w:left="540" w:hanging="271"/>
        <w:numPr>
          <w:ilvl w:val="0"/>
          <w:numId w:val="42"/>
        </w:numPr>
      </w:pPr>
      <w:r>
        <w:rPr>
          <w:rFonts w:ascii="Calibri" w:hAnsi="Calibri"/>
          <w:b w:val="0"/>
          <w:i w:val="0"/>
          <w:color w:val="222222"/>
          <w:sz w:val="19"/>
        </w:rPr>
        <w:t>Network and data-centre operations, cybersecurity awareness, infrastructure, and technical support</w:t>
      </w:r>
    </w:p>
    <w:p>
      <w:pPr>
        <w:spacing w:after="28" w:line="269" w:lineRule="auto"/>
        <w:ind w:left="540" w:hanging="271"/>
        <w:numPr>
          <w:ilvl w:val="0"/>
          <w:numId w:val="42"/>
        </w:numPr>
      </w:pPr>
      <w:r>
        <w:rPr>
          <w:rFonts w:ascii="Calibri" w:hAnsi="Calibri"/>
          <w:b w:val="0"/>
          <w:i w:val="0"/>
          <w:color w:val="222222"/>
          <w:sz w:val="19"/>
        </w:rPr>
        <w:t>Stakeholder consultation, requirements analysis, cross-department integration, and change enablement</w:t>
      </w:r>
    </w:p>
    <w:p>
      <w:pPr>
        <w:pStyle w:val="Heading1"/>
        <w:keepNext/>
      </w:pPr>
      <w:r>
        <w:t>PROFESSIONAL EXPERIENCE</w:t>
      </w:r>
    </w:p>
    <w:p>
      <w:pPr>
        <w:keepNext/>
        <w:tabs>
          <w:tab w:pos="9360" w:val="right"/>
        </w:tabs>
        <w:spacing w:before="60" w:after="20"/>
      </w:pPr>
      <w:r>
        <w:rPr>
          <w:rFonts w:ascii="Calibri" w:hAnsi="Calibri"/>
          <w:b/>
          <w:i w:val="0"/>
          <w:color w:val="17365D"/>
          <w:sz w:val="20"/>
        </w:rPr>
        <w:t>Resource Person — Research &amp; Development</w:t>
      </w:r>
      <w:r>
        <w:rPr>
          <w:rFonts w:ascii="Calibri" w:hAnsi="Calibri"/>
          <w:b/>
          <w:i w:val="0"/>
          <w:color w:val="222222"/>
          <w:sz w:val="19"/>
        </w:rPr>
        <w:t xml:space="preserve">  |  Provincial Ministry of Education, Eastern Province</w:t>
      </w:r>
      <w:r>
        <w:rPr>
          <w:rFonts w:ascii="Calibri" w:hAnsi="Calibri"/>
          <w:b/>
          <w:i w:val="0"/>
          <w:color w:val="5F6B78"/>
          <w:sz w:val="18"/>
        </w:rPr>
        <w:tab/>
        <w:t>Apr 2021–Present</w:t>
      </w:r>
    </w:p>
    <w:p>
      <w:pPr>
        <w:spacing w:after="32" w:line="269" w:lineRule="auto"/>
        <w:ind w:left="540" w:hanging="271"/>
        <w:numPr>
          <w:ilvl w:val="0"/>
          <w:numId w:val="42"/>
        </w:numPr>
      </w:pPr>
      <w:r>
        <w:rPr>
          <w:rFonts w:ascii="Calibri" w:hAnsi="Calibri"/>
          <w:b w:val="0"/>
          <w:i w:val="0"/>
          <w:color w:val="222222"/>
          <w:sz w:val="18"/>
        </w:rPr>
        <w:t>Develops and maintains EMS360 and the Smart Cloud Office platform for education and public administration.</w:t>
      </w:r>
    </w:p>
    <w:p>
      <w:pPr>
        <w:spacing w:after="32" w:line="269" w:lineRule="auto"/>
        <w:ind w:left="540" w:hanging="271"/>
        <w:numPr>
          <w:ilvl w:val="0"/>
          <w:numId w:val="42"/>
        </w:numPr>
      </w:pPr>
      <w:r>
        <w:rPr>
          <w:rFonts w:ascii="Calibri" w:hAnsi="Calibri"/>
          <w:b w:val="0"/>
          <w:i w:val="0"/>
          <w:color w:val="222222"/>
          <w:sz w:val="18"/>
        </w:rPr>
        <w:t>Designs data-science initiatives aligned with national standards, including resource, results, zone, and school performance analytics.</w:t>
      </w:r>
    </w:p>
    <w:p>
      <w:pPr>
        <w:spacing w:after="32" w:line="269" w:lineRule="auto"/>
        <w:ind w:left="540" w:hanging="271"/>
        <w:numPr>
          <w:ilvl w:val="0"/>
          <w:numId w:val="42"/>
        </w:numPr>
      </w:pPr>
      <w:r>
        <w:rPr>
          <w:rFonts w:ascii="Calibri" w:hAnsi="Calibri"/>
          <w:b w:val="0"/>
          <w:i w:val="0"/>
          <w:color w:val="222222"/>
          <w:sz w:val="18"/>
        </w:rPr>
        <w:t>Applies emerging technologies and industry practices; conducts training, provides technical support, and recommends system enhancements.</w:t>
      </w:r>
    </w:p>
    <w:p>
      <w:pPr>
        <w:spacing w:after="32" w:line="269" w:lineRule="auto"/>
        <w:ind w:left="540" w:hanging="271"/>
        <w:numPr>
          <w:ilvl w:val="0"/>
          <w:numId w:val="42"/>
        </w:numPr>
      </w:pPr>
      <w:r>
        <w:rPr>
          <w:rFonts w:ascii="Calibri" w:hAnsi="Calibri"/>
          <w:b w:val="0"/>
          <w:i w:val="0"/>
          <w:color w:val="222222"/>
          <w:sz w:val="18"/>
        </w:rPr>
        <w:t>Coordinates with departments and teams to enable reliable data exchange, integration, and interoperability.</w:t>
      </w:r>
    </w:p>
    <w:p>
      <w:pPr>
        <w:keepNext/>
        <w:tabs>
          <w:tab w:pos="9360" w:val="right"/>
        </w:tabs>
        <w:spacing w:before="60" w:after="20"/>
      </w:pPr>
      <w:r>
        <w:rPr>
          <w:rFonts w:ascii="Calibri" w:hAnsi="Calibri"/>
          <w:b/>
          <w:i w:val="0"/>
          <w:color w:val="17365D"/>
          <w:sz w:val="20"/>
        </w:rPr>
        <w:t>Visiting Lecturer</w:t>
      </w:r>
      <w:r>
        <w:rPr>
          <w:rFonts w:ascii="Calibri" w:hAnsi="Calibri"/>
          <w:b/>
          <w:i w:val="0"/>
          <w:color w:val="222222"/>
          <w:sz w:val="19"/>
        </w:rPr>
        <w:t xml:space="preserve">  |  Sri Lanka Institute of Advanced Technological Education (SLIATE)</w:t>
      </w:r>
      <w:r>
        <w:rPr>
          <w:rFonts w:ascii="Calibri" w:hAnsi="Calibri"/>
          <w:b/>
          <w:i w:val="0"/>
          <w:color w:val="5F6B78"/>
          <w:sz w:val="18"/>
        </w:rPr>
        <w:tab/>
        <w:t>Jan 2020–Present</w:t>
      </w:r>
    </w:p>
    <w:p>
      <w:pPr>
        <w:spacing w:after="32" w:line="269" w:lineRule="auto"/>
        <w:ind w:left="540" w:hanging="271"/>
        <w:numPr>
          <w:ilvl w:val="0"/>
          <w:numId w:val="42"/>
        </w:numPr>
      </w:pPr>
      <w:r>
        <w:rPr>
          <w:rFonts w:ascii="Calibri" w:hAnsi="Calibri"/>
          <w:b w:val="0"/>
          <w:i w:val="0"/>
          <w:color w:val="222222"/>
          <w:sz w:val="18"/>
        </w:rPr>
        <w:t>Delivers lectures, workshops, discussions, assessment, and mentoring while developing practical, high-quality course materials.</w:t>
      </w:r>
    </w:p>
    <w:p>
      <w:pPr>
        <w:spacing w:after="32" w:line="269" w:lineRule="auto"/>
        <w:ind w:left="540" w:hanging="271"/>
        <w:numPr>
          <w:ilvl w:val="0"/>
          <w:numId w:val="42"/>
        </w:numPr>
      </w:pPr>
      <w:r>
        <w:rPr>
          <w:rFonts w:ascii="Calibri" w:hAnsi="Calibri"/>
          <w:b w:val="0"/>
          <w:i w:val="0"/>
          <w:color w:val="222222"/>
          <w:sz w:val="18"/>
        </w:rPr>
        <w:t>Teaches Data Structures &amp; Algorithms, Machine Learning, Internet &amp; Computer Security, Network &amp; Data Centre Operations, IT Project, Web Application Development, and Information Management &amp; Information Systems.</w:t>
      </w:r>
    </w:p>
    <w:p>
      <w:pPr>
        <w:spacing w:after="32" w:line="269" w:lineRule="auto"/>
        <w:ind w:left="540" w:hanging="271"/>
        <w:numPr>
          <w:ilvl w:val="0"/>
          <w:numId w:val="42"/>
        </w:numPr>
      </w:pPr>
      <w:r>
        <w:rPr>
          <w:rFonts w:ascii="Calibri" w:hAnsi="Calibri"/>
          <w:b w:val="0"/>
          <w:i w:val="0"/>
          <w:color w:val="222222"/>
          <w:sz w:val="18"/>
        </w:rPr>
        <w:t>Connects current industry practice with critical thinking and problem-solving to prepare future IT professionals.</w:t>
      </w:r>
    </w:p>
    <w:p>
      <w:pPr>
        <w:keepNext/>
        <w:tabs>
          <w:tab w:pos="9360" w:val="right"/>
        </w:tabs>
        <w:spacing w:before="60" w:after="20"/>
      </w:pPr>
      <w:r>
        <w:rPr>
          <w:rFonts w:ascii="Calibri" w:hAnsi="Calibri"/>
          <w:b/>
          <w:i w:val="0"/>
          <w:color w:val="17365D"/>
          <w:sz w:val="20"/>
        </w:rPr>
        <w:t>IT Consultant &amp; Founder</w:t>
      </w:r>
      <w:r>
        <w:rPr>
          <w:rFonts w:ascii="Calibri" w:hAnsi="Calibri"/>
          <w:b/>
          <w:i w:val="0"/>
          <w:color w:val="222222"/>
          <w:sz w:val="19"/>
        </w:rPr>
        <w:t xml:space="preserve">  |  Quantum Plus / NGO and institutional engagements</w:t>
      </w:r>
      <w:r>
        <w:rPr>
          <w:rFonts w:ascii="Calibri" w:hAnsi="Calibri"/>
          <w:b/>
          <w:i w:val="0"/>
          <w:color w:val="5F6B78"/>
          <w:sz w:val="18"/>
        </w:rPr>
        <w:tab/>
        <w:t>Part-time</w:t>
      </w:r>
    </w:p>
    <w:p>
      <w:pPr>
        <w:spacing w:after="32" w:line="269" w:lineRule="auto"/>
        <w:ind w:left="540" w:hanging="271"/>
        <w:numPr>
          <w:ilvl w:val="0"/>
          <w:numId w:val="42"/>
        </w:numPr>
      </w:pPr>
      <w:r>
        <w:rPr>
          <w:rFonts w:ascii="Calibri" w:hAnsi="Calibri"/>
          <w:b w:val="0"/>
          <w:i w:val="0"/>
          <w:color w:val="222222"/>
          <w:sz w:val="18"/>
        </w:rPr>
        <w:t>Provides tailored IT advisory, system delivery, training, and technical support to UNFPA, CDF, Quantum Plus, FitsCorps, SLSA, and other organizations.</w:t>
      </w:r>
    </w:p>
    <w:p>
      <w:pPr>
        <w:spacing w:after="32" w:line="269" w:lineRule="auto"/>
        <w:ind w:left="540" w:hanging="271"/>
        <w:numPr>
          <w:ilvl w:val="0"/>
          <w:numId w:val="42"/>
        </w:numPr>
      </w:pPr>
      <w:r>
        <w:rPr>
          <w:rFonts w:ascii="Calibri" w:hAnsi="Calibri"/>
          <w:b w:val="0"/>
          <w:i w:val="0"/>
          <w:color w:val="222222"/>
          <w:sz w:val="18"/>
        </w:rPr>
        <w:t>Served as Software Architect for Global Exchange Ltd., United Kingdom, and Software Developer for TSSAUK, United Kingdom.</w:t>
      </w:r>
    </w:p>
    <w:p>
      <w:pPr>
        <w:keepNext/>
        <w:tabs>
          <w:tab w:pos="9360" w:val="right"/>
        </w:tabs>
        <w:spacing w:before="60" w:after="20"/>
      </w:pPr>
      <w:r>
        <w:rPr>
          <w:rFonts w:ascii="Calibri" w:hAnsi="Calibri"/>
          <w:b/>
          <w:i w:val="0"/>
          <w:color w:val="17365D"/>
          <w:sz w:val="20"/>
        </w:rPr>
        <w:t>Instructor — Information Technology Distance Learning Hub</w:t>
      </w:r>
      <w:r>
        <w:rPr>
          <w:rFonts w:ascii="Calibri" w:hAnsi="Calibri"/>
          <w:b/>
          <w:i w:val="0"/>
          <w:color w:val="222222"/>
          <w:sz w:val="19"/>
        </w:rPr>
        <w:t xml:space="preserve">  |  Provincial Department of Education</w:t>
      </w:r>
      <w:r>
        <w:rPr>
          <w:rFonts w:ascii="Calibri" w:hAnsi="Calibri"/>
          <w:b/>
          <w:i w:val="0"/>
          <w:color w:val="5F6B78"/>
          <w:sz w:val="18"/>
        </w:rPr>
        <w:tab/>
        <w:t>Jul 2019–Apr 2021</w:t>
      </w:r>
    </w:p>
    <w:p>
      <w:pPr>
        <w:spacing w:after="32" w:line="269" w:lineRule="auto"/>
        <w:ind w:left="540" w:hanging="271"/>
        <w:numPr>
          <w:ilvl w:val="0"/>
          <w:numId w:val="42"/>
        </w:numPr>
      </w:pPr>
      <w:r>
        <w:rPr>
          <w:rFonts w:ascii="Calibri" w:hAnsi="Calibri"/>
          <w:b w:val="0"/>
          <w:i w:val="0"/>
          <w:color w:val="222222"/>
          <w:sz w:val="18"/>
        </w:rPr>
        <w:t>Delivered IT training, distance-learning support, practical technology exposure, and technical mentoring for teachers and learners.</w:t>
      </w:r>
    </w:p>
    <w:p>
      <w:pPr>
        <w:keepNext/>
        <w:tabs>
          <w:tab w:pos="9360" w:val="right"/>
        </w:tabs>
        <w:spacing w:before="60" w:after="20"/>
      </w:pPr>
      <w:r>
        <w:rPr>
          <w:rFonts w:ascii="Calibri" w:hAnsi="Calibri"/>
          <w:b/>
          <w:i w:val="0"/>
          <w:color w:val="17365D"/>
          <w:sz w:val="20"/>
        </w:rPr>
        <w:t>ICT Teacher</w:t>
      </w:r>
      <w:r>
        <w:rPr>
          <w:rFonts w:ascii="Calibri" w:hAnsi="Calibri"/>
          <w:b/>
          <w:i w:val="0"/>
          <w:color w:val="222222"/>
          <w:sz w:val="19"/>
        </w:rPr>
        <w:t xml:space="preserve">  |  Ministry of Education, Eastern Province</w:t>
      </w:r>
      <w:r>
        <w:rPr>
          <w:rFonts w:ascii="Calibri" w:hAnsi="Calibri"/>
          <w:b/>
          <w:i w:val="0"/>
          <w:color w:val="5F6B78"/>
          <w:sz w:val="18"/>
        </w:rPr>
        <w:tab/>
        <w:t>Jan 2014–Jul 2019</w:t>
      </w:r>
    </w:p>
    <w:p>
      <w:pPr>
        <w:spacing w:after="32" w:line="269" w:lineRule="auto"/>
        <w:ind w:left="540" w:hanging="271"/>
        <w:numPr>
          <w:ilvl w:val="0"/>
          <w:numId w:val="42"/>
        </w:numPr>
      </w:pPr>
      <w:r>
        <w:rPr>
          <w:rFonts w:ascii="Calibri" w:hAnsi="Calibri"/>
          <w:b w:val="0"/>
          <w:i w:val="0"/>
          <w:color w:val="222222"/>
          <w:sz w:val="18"/>
        </w:rPr>
        <w:t>Taught ICT and supported the practical, responsible application of technology in education.</w:t>
      </w:r>
    </w:p>
    <w:p>
      <w:pPr>
        <w:keepNext/>
        <w:tabs>
          <w:tab w:pos="9360" w:val="right"/>
        </w:tabs>
        <w:spacing w:before="60" w:after="20"/>
      </w:pPr>
      <w:r>
        <w:rPr>
          <w:rFonts w:ascii="Calibri" w:hAnsi="Calibri"/>
          <w:b/>
          <w:i w:val="0"/>
          <w:color w:val="17365D"/>
          <w:sz w:val="20"/>
        </w:rPr>
        <w:t>System Administrator</w:t>
      </w:r>
      <w:r>
        <w:rPr>
          <w:rFonts w:ascii="Calibri" w:hAnsi="Calibri"/>
          <w:b/>
          <w:i w:val="0"/>
          <w:color w:val="222222"/>
          <w:sz w:val="19"/>
        </w:rPr>
        <w:t xml:space="preserve">  |  Best Genius SDN. BHD., Malaysia</w:t>
      </w:r>
      <w:r>
        <w:rPr>
          <w:rFonts w:ascii="Calibri" w:hAnsi="Calibri"/>
          <w:b/>
          <w:i w:val="0"/>
          <w:color w:val="5F6B78"/>
          <w:sz w:val="18"/>
        </w:rPr>
        <w:tab/>
        <w:t>Feb–Oct 2014</w:t>
      </w:r>
    </w:p>
    <w:p>
      <w:pPr>
        <w:spacing w:after="32" w:line="269" w:lineRule="auto"/>
        <w:ind w:left="540" w:hanging="271"/>
        <w:numPr>
          <w:ilvl w:val="0"/>
          <w:numId w:val="42"/>
        </w:numPr>
      </w:pPr>
      <w:r>
        <w:rPr>
          <w:rFonts w:ascii="Calibri" w:hAnsi="Calibri"/>
          <w:b w:val="0"/>
          <w:i w:val="0"/>
          <w:color w:val="222222"/>
          <w:sz w:val="18"/>
        </w:rPr>
        <w:t>Administered systems and databases, supported users, and contributed to optimization, migration, and technical documentation.</w:t>
      </w:r>
    </w:p>
    <w:p>
      <w:pPr>
        <w:keepNext/>
        <w:tabs>
          <w:tab w:pos="9360" w:val="right"/>
        </w:tabs>
        <w:spacing w:before="60" w:after="20"/>
      </w:pPr>
      <w:r>
        <w:rPr>
          <w:rFonts w:ascii="Calibri" w:hAnsi="Calibri"/>
          <w:b/>
          <w:i w:val="0"/>
          <w:color w:val="17365D"/>
          <w:sz w:val="20"/>
        </w:rPr>
        <w:t>Computer Programmer (Software Engineer)</w:t>
      </w:r>
      <w:r>
        <w:rPr>
          <w:rFonts w:ascii="Calibri" w:hAnsi="Calibri"/>
          <w:b/>
          <w:i w:val="0"/>
          <w:color w:val="222222"/>
          <w:sz w:val="19"/>
        </w:rPr>
        <w:t xml:space="preserve">  |  RE-AWAKENING Project — World Bank</w:t>
      </w:r>
      <w:r>
        <w:rPr>
          <w:rFonts w:ascii="Calibri" w:hAnsi="Calibri"/>
          <w:b/>
          <w:i w:val="0"/>
          <w:color w:val="5F6B78"/>
          <w:sz w:val="18"/>
        </w:rPr>
        <w:tab/>
        <w:t>Jan–Apr 2011</w:t>
      </w:r>
    </w:p>
    <w:p>
      <w:pPr>
        <w:spacing w:after="32" w:line="269" w:lineRule="auto"/>
        <w:ind w:left="540" w:hanging="271"/>
        <w:numPr>
          <w:ilvl w:val="0"/>
          <w:numId w:val="42"/>
        </w:numPr>
      </w:pPr>
      <w:r>
        <w:rPr>
          <w:rFonts w:ascii="Calibri" w:hAnsi="Calibri"/>
          <w:b w:val="0"/>
          <w:i w:val="0"/>
          <w:color w:val="222222"/>
          <w:sz w:val="18"/>
        </w:rPr>
        <w:t>Developed and improved community-oriented software and reporting capabilities.</w:t>
      </w:r>
    </w:p>
    <w:p>
      <w:pPr>
        <w:keepNext/>
        <w:tabs>
          <w:tab w:pos="9360" w:val="right"/>
        </w:tabs>
        <w:spacing w:before="60" w:after="20"/>
      </w:pPr>
      <w:r>
        <w:rPr>
          <w:rFonts w:ascii="Calibri" w:hAnsi="Calibri"/>
          <w:b/>
          <w:i w:val="0"/>
          <w:color w:val="17365D"/>
          <w:sz w:val="20"/>
        </w:rPr>
        <w:t>Network Administrator &amp; CTS Officer</w:t>
      </w:r>
      <w:r>
        <w:rPr>
          <w:rFonts w:ascii="Calibri" w:hAnsi="Calibri"/>
          <w:b/>
          <w:i w:val="0"/>
          <w:color w:val="222222"/>
          <w:sz w:val="19"/>
        </w:rPr>
        <w:t xml:space="preserve">  |  World Vision Lanka</w:t>
      </w:r>
      <w:r>
        <w:rPr>
          <w:rFonts w:ascii="Calibri" w:hAnsi="Calibri"/>
          <w:b/>
          <w:i w:val="0"/>
          <w:color w:val="5F6B78"/>
          <w:sz w:val="18"/>
        </w:rPr>
        <w:tab/>
        <w:t>Jun 2005–Oct 2007</w:t>
      </w:r>
    </w:p>
    <w:p>
      <w:pPr>
        <w:spacing w:after="32" w:line="269" w:lineRule="auto"/>
        <w:ind w:left="540" w:hanging="271"/>
        <w:numPr>
          <w:ilvl w:val="0"/>
          <w:numId w:val="42"/>
        </w:numPr>
      </w:pPr>
      <w:r>
        <w:rPr>
          <w:rFonts w:ascii="Calibri" w:hAnsi="Calibri"/>
          <w:b w:val="0"/>
          <w:i w:val="0"/>
          <w:color w:val="222222"/>
          <w:sz w:val="18"/>
        </w:rPr>
        <w:t>Managed network operations and supported commodity-tracking records, monitoring, and programme reporting.</w:t>
      </w:r>
    </w:p>
    <w:p>
      <w:pPr>
        <w:pStyle w:val="Heading1"/>
        <w:keepNext/>
      </w:pPr>
      <w:r>
        <w:t>EDUCATION</w:t>
      </w:r>
    </w:p>
    <w:p>
      <w:pPr>
        <w:tabs>
          <w:tab w:pos="9360" w:val="right"/>
        </w:tabs>
        <w:spacing w:after="50" w:line="259" w:lineRule="auto"/>
      </w:pPr>
      <w:r>
        <w:rPr>
          <w:rFonts w:ascii="Calibri" w:hAnsi="Calibri"/>
          <w:b/>
          <w:i w:val="0"/>
          <w:color w:val="17365D"/>
          <w:sz w:val="19"/>
        </w:rPr>
        <w:t>M.Sc. in Information Technology with Research</w:t>
      </w:r>
      <w:r>
        <w:rPr>
          <w:rFonts w:ascii="Calibri" w:hAnsi="Calibri"/>
          <w:b w:val="0"/>
          <w:i w:val="0"/>
          <w:color w:val="222222"/>
          <w:sz w:val="19"/>
        </w:rPr>
        <w:t xml:space="preserve"> — University of Moratuwa, Sri Lanka</w:t>
      </w:r>
      <w:r>
        <w:rPr>
          <w:rFonts w:ascii="Calibri" w:hAnsi="Calibri"/>
          <w:b w:val="0"/>
          <w:i w:val="0"/>
          <w:color w:val="5F6B78"/>
          <w:sz w:val="18"/>
        </w:rPr>
        <w:tab/>
        <w:t>2019</w:t>
      </w:r>
    </w:p>
    <w:p>
      <w:pPr>
        <w:tabs>
          <w:tab w:pos="9360" w:val="right"/>
        </w:tabs>
        <w:spacing w:after="50" w:line="259" w:lineRule="auto"/>
      </w:pPr>
      <w:r>
        <w:rPr>
          <w:rFonts w:ascii="Calibri" w:hAnsi="Calibri"/>
          <w:b/>
          <w:i w:val="0"/>
          <w:color w:val="17365D"/>
          <w:sz w:val="19"/>
        </w:rPr>
        <w:t>B.Sc. (Hons) Computing and its Practice</w:t>
      </w:r>
      <w:r>
        <w:rPr>
          <w:rFonts w:ascii="Calibri" w:hAnsi="Calibri"/>
          <w:b w:val="0"/>
          <w:i w:val="0"/>
          <w:color w:val="222222"/>
          <w:sz w:val="19"/>
        </w:rPr>
        <w:t xml:space="preserve"> — The Open University, United Kingdom</w:t>
      </w:r>
      <w:r>
        <w:rPr>
          <w:rFonts w:ascii="Calibri" w:hAnsi="Calibri"/>
          <w:b w:val="0"/>
          <w:i w:val="0"/>
          <w:color w:val="5F6B78"/>
          <w:sz w:val="18"/>
        </w:rPr>
        <w:tab/>
        <w:t>2010</w:t>
      </w:r>
    </w:p>
    <w:p>
      <w:pPr>
        <w:tabs>
          <w:tab w:pos="9360" w:val="right"/>
        </w:tabs>
        <w:spacing w:after="50" w:line="259" w:lineRule="auto"/>
      </w:pPr>
      <w:r>
        <w:rPr>
          <w:rFonts w:ascii="Calibri" w:hAnsi="Calibri"/>
          <w:b/>
          <w:i w:val="0"/>
          <w:color w:val="17365D"/>
          <w:sz w:val="19"/>
        </w:rPr>
        <w:t>B.A.</w:t>
      </w:r>
      <w:r>
        <w:rPr>
          <w:rFonts w:ascii="Calibri" w:hAnsi="Calibri"/>
          <w:b w:val="0"/>
          <w:i w:val="0"/>
          <w:color w:val="222222"/>
          <w:sz w:val="19"/>
        </w:rPr>
        <w:t xml:space="preserve"> — University of Peradeniya (Open), Sri Lanka</w:t>
      </w:r>
      <w:r>
        <w:rPr>
          <w:rFonts w:ascii="Calibri" w:hAnsi="Calibri"/>
          <w:b w:val="0"/>
          <w:i w:val="0"/>
          <w:color w:val="5F6B78"/>
          <w:sz w:val="18"/>
        </w:rPr>
        <w:tab/>
        <w:t>2008</w:t>
      </w:r>
    </w:p>
    <w:p>
      <w:pPr>
        <w:tabs>
          <w:tab w:pos="9360" w:val="right"/>
        </w:tabs>
        <w:spacing w:after="50" w:line="259" w:lineRule="auto"/>
      </w:pPr>
      <w:r>
        <w:rPr>
          <w:rFonts w:ascii="Calibri" w:hAnsi="Calibri"/>
          <w:b/>
          <w:i w:val="0"/>
          <w:color w:val="17365D"/>
          <w:sz w:val="19"/>
        </w:rPr>
        <w:t>DNIIT Honours in Software Engineering</w:t>
      </w:r>
      <w:r>
        <w:rPr>
          <w:rFonts w:ascii="Calibri" w:hAnsi="Calibri"/>
          <w:b w:val="0"/>
          <w:i w:val="0"/>
          <w:color w:val="222222"/>
          <w:sz w:val="19"/>
        </w:rPr>
        <w:t xml:space="preserve"> — NIIT, Sri Lanka</w:t>
      </w:r>
      <w:r>
        <w:rPr>
          <w:rFonts w:ascii="Calibri" w:hAnsi="Calibri"/>
          <w:b w:val="0"/>
          <w:i w:val="0"/>
          <w:color w:val="5F6B78"/>
          <w:sz w:val="18"/>
        </w:rPr>
        <w:tab/>
        <w:t>2007</w:t>
      </w:r>
    </w:p>
    <w:p>
      <w:pPr>
        <w:tabs>
          <w:tab w:pos="9360" w:val="right"/>
        </w:tabs>
        <w:spacing w:after="50" w:line="259" w:lineRule="auto"/>
      </w:pPr>
      <w:r>
        <w:rPr>
          <w:rFonts w:ascii="Calibri" w:hAnsi="Calibri"/>
          <w:b/>
          <w:i w:val="0"/>
          <w:color w:val="17365D"/>
          <w:sz w:val="19"/>
        </w:rPr>
        <w:t>Postgraduate Diploma in Professional Practice in English</w:t>
      </w:r>
      <w:r>
        <w:rPr>
          <w:rFonts w:ascii="Calibri" w:hAnsi="Calibri"/>
          <w:b w:val="0"/>
          <w:i w:val="0"/>
          <w:color w:val="222222"/>
          <w:sz w:val="19"/>
        </w:rPr>
        <w:t xml:space="preserve"> — The Open University of Sri Lanka</w:t>
      </w:r>
      <w:r>
        <w:rPr>
          <w:rFonts w:ascii="Calibri" w:hAnsi="Calibri"/>
          <w:b w:val="0"/>
          <w:i w:val="0"/>
          <w:color w:val="5F6B78"/>
          <w:sz w:val="18"/>
        </w:rPr>
        <w:tab/>
        <w:t>2024/25</w:t>
      </w:r>
    </w:p>
    <w:p>
      <w:pPr>
        <w:tabs>
          <w:tab w:pos="9360" w:val="right"/>
        </w:tabs>
        <w:spacing w:after="50" w:line="259" w:lineRule="auto"/>
      </w:pPr>
      <w:r>
        <w:rPr>
          <w:rFonts w:ascii="Calibri" w:hAnsi="Calibri"/>
          <w:b/>
          <w:i w:val="0"/>
          <w:color w:val="17365D"/>
          <w:sz w:val="19"/>
        </w:rPr>
        <w:t>Postgraduate Diploma in Education</w:t>
      </w:r>
      <w:r>
        <w:rPr>
          <w:rFonts w:ascii="Calibri" w:hAnsi="Calibri"/>
          <w:b w:val="0"/>
          <w:i w:val="0"/>
          <w:color w:val="222222"/>
          <w:sz w:val="19"/>
        </w:rPr>
        <w:t xml:space="preserve"> — PGISH, University of Peradeniya — Reading</w:t>
      </w:r>
      <w:r>
        <w:rPr>
          <w:rFonts w:ascii="Calibri" w:hAnsi="Calibri"/>
          <w:b w:val="0"/>
          <w:i w:val="0"/>
          <w:color w:val="5F6B78"/>
          <w:sz w:val="18"/>
        </w:rPr>
        <w:tab/>
        <w:t>2024/25</w:t>
      </w:r>
    </w:p>
    <w:p>
      <w:pPr>
        <w:pStyle w:val="Heading1"/>
        <w:keepNext/>
      </w:pPr>
      <w:r>
        <w:t>PUBLICATIONS</w:t>
      </w:r>
    </w:p>
    <w:tbl>
      <w:tblPr>
        <w:tblW w:type="dxa" w:w="9360"/>
        <w:jc w:val="left"/>
        <w:tblLayout w:type="fixed"/>
        <w:tblLook w:firstColumn="1" w:firstRow="1" w:lastColumn="0" w:lastRow="0" w:noHBand="0" w:noVBand="1" w:val="04A0"/>
        <w:tblInd w:w="120" w:type="dxa"/>
        <w:tblBorders>
          <w:top w:val="single" w:sz="6" w:space="0" w:color="D7DBE2"/>
          <w:left w:val="single" w:sz="6" w:space="0" w:color="D7DBE2"/>
          <w:bottom w:val="single" w:sz="6" w:space="0" w:color="D7DBE2"/>
          <w:right w:val="single" w:sz="6" w:space="0" w:color="D7DBE2"/>
          <w:insideH w:val="single" w:sz="6" w:space="0" w:color="D7DBE2"/>
          <w:insideV w:val="single" w:sz="6" w:space="0" w:color="D7DBE2"/>
        </w:tblBorders>
      </w:tblPr>
      <w:tblGrid>
        <w:gridCol w:w="720"/>
        <w:gridCol w:w="4320"/>
        <w:gridCol w:w="2880"/>
        <w:gridCol w:w="1440"/>
      </w:tblGrid>
      <w:tr>
        <w:trPr>
          <w:tblHeader w:val="true"/>
        </w:trPr>
        <w:tc>
          <w:tcPr>
            <w:tcW w:type="dxa" w:w="720"/>
            <w:shd w:fill="E8EEF5"/>
            <w:vAlign w:val="center"/>
            <w:tcMar>
              <w:top w:w="80" w:type="dxa"/>
              <w:start w:w="120" w:type="dxa"/>
              <w:bottom w:w="80" w:type="dxa"/>
              <w:end w:w="120" w:type="dxa"/>
            </w:tcMar>
          </w:tcPr>
          <w:p>
            <w:pPr>
              <w:jc w:val="center"/>
            </w:pPr>
            <w:r>
              <w:rPr>
                <w:rFonts w:ascii="Calibri" w:hAnsi="Calibri"/>
                <w:b/>
                <w:i w:val="0"/>
                <w:color w:val="17365D"/>
                <w:sz w:val="17"/>
              </w:rPr>
              <w:t>Year</w:t>
            </w:r>
          </w:p>
        </w:tc>
        <w:tc>
          <w:tcPr>
            <w:tcW w:type="dxa" w:w="4320"/>
            <w:shd w:fill="E8EEF5"/>
            <w:vAlign w:val="center"/>
            <w:tcMar>
              <w:top w:w="80" w:type="dxa"/>
              <w:start w:w="120" w:type="dxa"/>
              <w:bottom w:w="80" w:type="dxa"/>
              <w:end w:w="120" w:type="dxa"/>
            </w:tcMar>
          </w:tcPr>
          <w:p>
            <w:pPr>
              <w:jc w:val="center"/>
            </w:pPr>
            <w:r>
              <w:rPr>
                <w:rFonts w:ascii="Calibri" w:hAnsi="Calibri"/>
                <w:b/>
                <w:i w:val="0"/>
                <w:color w:val="17365D"/>
                <w:sz w:val="17"/>
              </w:rPr>
              <w:t>Publication</w:t>
            </w:r>
          </w:p>
        </w:tc>
        <w:tc>
          <w:tcPr>
            <w:tcW w:type="dxa" w:w="2880"/>
            <w:shd w:fill="E8EEF5"/>
            <w:vAlign w:val="center"/>
            <w:tcMar>
              <w:top w:w="80" w:type="dxa"/>
              <w:start w:w="120" w:type="dxa"/>
              <w:bottom w:w="80" w:type="dxa"/>
              <w:end w:w="120" w:type="dxa"/>
            </w:tcMar>
          </w:tcPr>
          <w:p>
            <w:pPr>
              <w:jc w:val="center"/>
            </w:pPr>
            <w:r>
              <w:rPr>
                <w:rFonts w:ascii="Calibri" w:hAnsi="Calibri"/>
                <w:b/>
                <w:i w:val="0"/>
                <w:color w:val="17365D"/>
                <w:sz w:val="17"/>
              </w:rPr>
              <w:t>Institute / Venue</w:t>
            </w:r>
          </w:p>
        </w:tc>
        <w:tc>
          <w:tcPr>
            <w:tcW w:type="dxa" w:w="1440"/>
            <w:shd w:fill="E8EEF5"/>
            <w:vAlign w:val="center"/>
            <w:tcMar>
              <w:top w:w="80" w:type="dxa"/>
              <w:start w:w="120" w:type="dxa"/>
              <w:bottom w:w="80" w:type="dxa"/>
              <w:end w:w="120" w:type="dxa"/>
            </w:tcMar>
          </w:tcPr>
          <w:p>
            <w:pPr>
              <w:jc w:val="center"/>
            </w:pPr>
            <w:r>
              <w:rPr>
                <w:rFonts w:ascii="Calibri" w:hAnsi="Calibri"/>
                <w:b/>
                <w:i w:val="0"/>
                <w:color w:val="17365D"/>
                <w:sz w:val="17"/>
              </w:rPr>
              <w:t>ISSN</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2020</w:t>
            </w:r>
          </w:p>
        </w:tc>
        <w:tc>
          <w:tcPr>
            <w:tcW w:type="dxa" w:w="432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Reliability Analysis of Mobile Application Based on the User Reviews of Health and Fitness</w:t>
            </w:r>
          </w:p>
        </w:tc>
        <w:tc>
          <w:tcPr>
            <w:tcW w:type="dxa" w:w="288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International Journal of Engineering Science &amp; Computing</w:t>
            </w:r>
          </w:p>
        </w:tc>
        <w:tc>
          <w:tcPr>
            <w:tcW w:type="dxa" w:w="144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2250-1371</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2025</w:t>
            </w:r>
          </w:p>
        </w:tc>
        <w:tc>
          <w:tcPr>
            <w:tcW w:type="dxa" w:w="432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EMS360 — AI-Powered Education Management Ecosystem</w:t>
            </w:r>
          </w:p>
        </w:tc>
        <w:tc>
          <w:tcPr>
            <w:tcW w:type="dxa" w:w="288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BP-IPAG Symposium, SLIDA</w:t>
            </w:r>
          </w:p>
        </w:tc>
        <w:tc>
          <w:tcPr>
            <w:tcW w:type="dxa" w:w="144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3051-5998</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2025</w:t>
            </w:r>
          </w:p>
        </w:tc>
        <w:tc>
          <w:tcPr>
            <w:tcW w:type="dxa" w:w="432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SCOApp — Smart Cloud Office Platform for Public Administration</w:t>
            </w:r>
          </w:p>
        </w:tc>
        <w:tc>
          <w:tcPr>
            <w:tcW w:type="dxa" w:w="288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BP-IPAG Symposium, SLIDA</w:t>
            </w:r>
          </w:p>
        </w:tc>
        <w:tc>
          <w:tcPr>
            <w:tcW w:type="dxa" w:w="144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3051-5998</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2025</w:t>
            </w:r>
          </w:p>
        </w:tc>
        <w:tc>
          <w:tcPr>
            <w:tcW w:type="dxa" w:w="432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ResolveQ — AI-Powered Complaint Management System for Governance</w:t>
            </w:r>
          </w:p>
        </w:tc>
        <w:tc>
          <w:tcPr>
            <w:tcW w:type="dxa" w:w="288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BP-IPAG Symposium, SLIDA</w:t>
            </w:r>
          </w:p>
        </w:tc>
        <w:tc>
          <w:tcPr>
            <w:tcW w:type="dxa" w:w="144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3051-5998</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2025</w:t>
            </w:r>
          </w:p>
        </w:tc>
        <w:tc>
          <w:tcPr>
            <w:tcW w:type="dxa" w:w="432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ChemNexus AI — AI-Powered Educational Platform</w:t>
            </w:r>
          </w:p>
        </w:tc>
        <w:tc>
          <w:tcPr>
            <w:tcW w:type="dxa" w:w="288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BP-IPAG Symposium, SLIDA</w:t>
            </w:r>
          </w:p>
        </w:tc>
        <w:tc>
          <w:tcPr>
            <w:tcW w:type="dxa" w:w="144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3051-5998</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2026</w:t>
            </w:r>
          </w:p>
        </w:tc>
        <w:tc>
          <w:tcPr>
            <w:tcW w:type="dxa" w:w="432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ChemNexQ — Artificial Intelligence in Multidisciplinary Applications (AIMDA 2026)</w:t>
            </w:r>
          </w:p>
        </w:tc>
        <w:tc>
          <w:tcPr>
            <w:tcW w:type="dxa" w:w="288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AIMDA International Conference</w:t>
            </w:r>
          </w:p>
        </w:tc>
        <w:tc>
          <w:tcPr>
            <w:tcW w:type="dxa" w:w="144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3121-3871</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2026</w:t>
            </w:r>
          </w:p>
        </w:tc>
        <w:tc>
          <w:tcPr>
            <w:tcW w:type="dxa" w:w="432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Multi-Agent Software Architecture for Holistic Student Lifecycle Management in Sri Lanka: Integrating Personalized Learning, Visual Progress Analytics, Nutrition Optimization, and Blockchain-Enabled Sponsorship</w:t>
            </w:r>
          </w:p>
        </w:tc>
        <w:tc>
          <w:tcPr>
            <w:tcW w:type="dxa" w:w="288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International Conference on Engineering for Humanity (ICEH 2026), Engineers Without Borders Sri Lanka</w:t>
            </w:r>
          </w:p>
        </w:tc>
        <w:tc>
          <w:tcPr>
            <w:tcW w:type="dxa" w:w="144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2026</w:t>
            </w:r>
          </w:p>
        </w:tc>
        <w:tc>
          <w:tcPr>
            <w:tcW w:type="dxa" w:w="432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An Artificial Intelligence Driven Adaptive Learning Platform for Equitable and Multilingual ICT Education in Sri Lanka</w:t>
            </w:r>
          </w:p>
        </w:tc>
        <w:tc>
          <w:tcPr>
            <w:tcW w:type="dxa" w:w="288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ICODE 2026 – International Conference on Open and Digital Education, University of Moratuwa</w:t>
            </w:r>
          </w:p>
        </w:tc>
        <w:tc>
          <w:tcPr>
            <w:tcW w:type="dxa" w:w="144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2026</w:t>
            </w:r>
          </w:p>
        </w:tc>
        <w:tc>
          <w:tcPr>
            <w:tcW w:type="dxa" w:w="432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SCOApp: A Multi-Tenant Platform for End-to-End Digitalization of Government Services in Sri Lanka</w:t>
            </w:r>
          </w:p>
        </w:tc>
        <w:tc>
          <w:tcPr>
            <w:tcW w:type="dxa" w:w="288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ICODE 2026 – International Conference on Open and Digital Education, University of Moratuwa</w:t>
            </w:r>
          </w:p>
        </w:tc>
        <w:tc>
          <w:tcPr>
            <w:tcW w:type="dxa" w:w="144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w:t>
            </w:r>
          </w:p>
        </w:tc>
      </w:tr>
    </w:tbl>
    <w:p>
      <w:pPr>
        <w:pStyle w:val="Heading1"/>
        <w:keepNext/>
      </w:pPr>
      <w:r>
        <w:t>RESEARCH &amp; DEVELOPMENT</w:t>
      </w:r>
    </w:p>
    <w:p>
      <w:pPr>
        <w:spacing w:after="40" w:line="269" w:lineRule="auto"/>
        <w:ind w:left="540" w:hanging="271"/>
        <w:numPr>
          <w:ilvl w:val="0"/>
          <w:numId w:val="42"/>
        </w:numPr>
      </w:pPr>
      <w:r>
        <w:rPr>
          <w:rFonts w:ascii="Calibri" w:hAnsi="Calibri"/>
          <w:b w:val="0"/>
          <w:i w:val="0"/>
          <w:color w:val="222222"/>
          <w:sz w:val="19"/>
        </w:rPr>
        <w:t>M.Sc. research: Reliability of Mobile Application Analysis Based on User Reviews in the Google Play health and fitness category, using Python and natural language processing.</w:t>
      </w:r>
    </w:p>
    <w:p>
      <w:pPr>
        <w:spacing w:after="40" w:line="269" w:lineRule="auto"/>
        <w:ind w:left="540" w:hanging="271"/>
        <w:numPr>
          <w:ilvl w:val="0"/>
          <w:numId w:val="42"/>
        </w:numPr>
      </w:pPr>
      <w:r>
        <w:rPr>
          <w:rFonts w:ascii="Calibri" w:hAnsi="Calibri"/>
          <w:b w:val="0"/>
          <w:i w:val="0"/>
          <w:color w:val="222222"/>
          <w:sz w:val="19"/>
        </w:rPr>
        <w:t>System architect / technology lead for EMS360, including Mail Management, Customer Relationship, Staff Align, Fin-Vision, Edu-Infa, CBEMS, EDLA, and TLM modules.</w:t>
      </w:r>
    </w:p>
    <w:p>
      <w:pPr>
        <w:spacing w:after="40" w:line="269" w:lineRule="auto"/>
        <w:ind w:left="540" w:hanging="271"/>
        <w:numPr>
          <w:ilvl w:val="0"/>
          <w:numId w:val="42"/>
        </w:numPr>
      </w:pPr>
      <w:r>
        <w:rPr>
          <w:rFonts w:ascii="Calibri" w:hAnsi="Calibri"/>
          <w:b w:val="0"/>
          <w:i w:val="0"/>
          <w:color w:val="222222"/>
          <w:sz w:val="19"/>
        </w:rPr>
        <w:t>Developed an automated research analysis tool that processes questionnaire data, generates AI-assisted insights, and produces tailored research reports.</w:t>
      </w:r>
    </w:p>
    <w:p>
      <w:pPr>
        <w:spacing w:after="40" w:line="269" w:lineRule="auto"/>
        <w:ind w:left="540" w:hanging="271"/>
        <w:numPr>
          <w:ilvl w:val="0"/>
          <w:numId w:val="42"/>
        </w:numPr>
      </w:pPr>
      <w:r>
        <w:rPr>
          <w:rFonts w:ascii="Calibri" w:hAnsi="Calibri"/>
          <w:b w:val="0"/>
          <w:i w:val="0"/>
          <w:color w:val="222222"/>
          <w:sz w:val="19"/>
        </w:rPr>
        <w:t>Designed or contributed to Customer Service Management, Mail Tracking, Teacher Management (TCMS), Competency Based Assessment, SCOApp, ResolveQ, ChemNexus AI, ChemNexQ, and FinLA solutions.</w:t>
      </w:r>
    </w:p>
    <w:p>
      <w:pPr>
        <w:spacing w:after="40" w:line="269" w:lineRule="auto"/>
        <w:ind w:left="540" w:hanging="271"/>
        <w:numPr>
          <w:ilvl w:val="0"/>
          <w:numId w:val="42"/>
        </w:numPr>
      </w:pPr>
      <w:r>
        <w:rPr>
          <w:rFonts w:ascii="Calibri" w:hAnsi="Calibri"/>
          <w:b w:val="0"/>
          <w:i w:val="0"/>
          <w:color w:val="222222"/>
          <w:sz w:val="19"/>
        </w:rPr>
        <w:t>TCMS work included automated cadre updating, large-scale data processing, interactive dashboards, and Eastern Province teacher cadre-management workflows.</w:t>
      </w:r>
    </w:p>
    <w:p>
      <w:pPr>
        <w:pStyle w:val="Heading1"/>
        <w:keepNext/>
      </w:pPr>
      <w:r>
        <w:t>AWARDS &amp; RECOGNITION</w:t>
      </w:r>
    </w:p>
    <w:tbl>
      <w:tblPr>
        <w:tblW w:type="dxa" w:w="9360"/>
        <w:jc w:val="left"/>
        <w:tblLayout w:type="fixed"/>
        <w:tblLook w:firstColumn="1" w:firstRow="1" w:lastColumn="0" w:lastRow="0" w:noHBand="0" w:noVBand="1" w:val="04A0"/>
        <w:tblInd w:w="120" w:type="dxa"/>
        <w:tblBorders>
          <w:top w:val="single" w:sz="6" w:space="0" w:color="D7DBE2"/>
          <w:left w:val="single" w:sz="6" w:space="0" w:color="D7DBE2"/>
          <w:bottom w:val="single" w:sz="6" w:space="0" w:color="D7DBE2"/>
          <w:right w:val="single" w:sz="6" w:space="0" w:color="D7DBE2"/>
          <w:insideH w:val="single" w:sz="6" w:space="0" w:color="D7DBE2"/>
          <w:insideV w:val="single" w:sz="6" w:space="0" w:color="D7DBE2"/>
        </w:tblBorders>
      </w:tblPr>
      <w:tblGrid>
        <w:gridCol w:w="720"/>
        <w:gridCol w:w="3150"/>
        <w:gridCol w:w="3510"/>
        <w:gridCol w:w="1980"/>
      </w:tblGrid>
      <w:tr>
        <w:trPr>
          <w:tblHeader w:val="true"/>
        </w:trPr>
        <w:tc>
          <w:tcPr>
            <w:tcW w:type="dxa" w:w="720"/>
            <w:shd w:fill="E8EEF5"/>
            <w:vAlign w:val="center"/>
            <w:tcMar>
              <w:top w:w="80" w:type="dxa"/>
              <w:start w:w="120" w:type="dxa"/>
              <w:bottom w:w="80" w:type="dxa"/>
              <w:end w:w="120" w:type="dxa"/>
            </w:tcMar>
          </w:tcPr>
          <w:p>
            <w:pPr>
              <w:jc w:val="center"/>
            </w:pPr>
            <w:r>
              <w:rPr>
                <w:rFonts w:ascii="Calibri" w:hAnsi="Calibri"/>
                <w:b/>
                <w:i w:val="0"/>
                <w:color w:val="17365D"/>
                <w:sz w:val="17"/>
              </w:rPr>
              <w:t>Year</w:t>
            </w:r>
          </w:p>
        </w:tc>
        <w:tc>
          <w:tcPr>
            <w:tcW w:type="dxa" w:w="3150"/>
            <w:shd w:fill="E8EEF5"/>
            <w:vAlign w:val="center"/>
            <w:tcMar>
              <w:top w:w="80" w:type="dxa"/>
              <w:start w:w="120" w:type="dxa"/>
              <w:bottom w:w="80" w:type="dxa"/>
              <w:end w:w="120" w:type="dxa"/>
            </w:tcMar>
          </w:tcPr>
          <w:p>
            <w:pPr>
              <w:jc w:val="center"/>
            </w:pPr>
            <w:r>
              <w:rPr>
                <w:rFonts w:ascii="Calibri" w:hAnsi="Calibri"/>
                <w:b/>
                <w:i w:val="0"/>
                <w:color w:val="17365D"/>
                <w:sz w:val="17"/>
              </w:rPr>
              <w:t>Award / Product</w:t>
            </w:r>
          </w:p>
        </w:tc>
        <w:tc>
          <w:tcPr>
            <w:tcW w:type="dxa" w:w="3510"/>
            <w:shd w:fill="E8EEF5"/>
            <w:vAlign w:val="center"/>
            <w:tcMar>
              <w:top w:w="80" w:type="dxa"/>
              <w:start w:w="120" w:type="dxa"/>
              <w:bottom w:w="80" w:type="dxa"/>
              <w:end w:w="120" w:type="dxa"/>
            </w:tcMar>
          </w:tcPr>
          <w:p>
            <w:pPr>
              <w:jc w:val="center"/>
            </w:pPr>
            <w:r>
              <w:rPr>
                <w:rFonts w:ascii="Calibri" w:hAnsi="Calibri"/>
                <w:b/>
                <w:i w:val="0"/>
                <w:color w:val="17365D"/>
                <w:sz w:val="17"/>
              </w:rPr>
              <w:t>Category</w:t>
            </w:r>
          </w:p>
        </w:tc>
        <w:tc>
          <w:tcPr>
            <w:tcW w:type="dxa" w:w="1980"/>
            <w:shd w:fill="E8EEF5"/>
            <w:vAlign w:val="center"/>
            <w:tcMar>
              <w:top w:w="80" w:type="dxa"/>
              <w:start w:w="120" w:type="dxa"/>
              <w:bottom w:w="80" w:type="dxa"/>
              <w:end w:w="120" w:type="dxa"/>
            </w:tcMar>
          </w:tcPr>
          <w:p>
            <w:pPr>
              <w:jc w:val="center"/>
            </w:pPr>
            <w:r>
              <w:rPr>
                <w:rFonts w:ascii="Calibri" w:hAnsi="Calibri"/>
                <w:b/>
                <w:i w:val="0"/>
                <w:color w:val="17365D"/>
                <w:sz w:val="17"/>
              </w:rPr>
              <w:t>Level</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2025</w:t>
            </w:r>
          </w:p>
        </w:tc>
        <w:tc>
          <w:tcPr>
            <w:tcW w:type="dxa" w:w="315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Best Paper Award — ResolveQ</w:t>
            </w:r>
          </w:p>
        </w:tc>
        <w:tc>
          <w:tcPr>
            <w:tcW w:type="dxa" w:w="351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Efficient and Accountable Governance</w:t>
            </w:r>
          </w:p>
        </w:tc>
        <w:tc>
          <w:tcPr>
            <w:tcW w:type="dxa" w:w="198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National</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2025</w:t>
            </w:r>
          </w:p>
        </w:tc>
        <w:tc>
          <w:tcPr>
            <w:tcW w:type="dxa" w:w="315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Best Paper Award — EMS360</w:t>
            </w:r>
          </w:p>
        </w:tc>
        <w:tc>
          <w:tcPr>
            <w:tcW w:type="dxa" w:w="351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Digital Transformation and Innovation</w:t>
            </w:r>
          </w:p>
        </w:tc>
        <w:tc>
          <w:tcPr>
            <w:tcW w:type="dxa" w:w="198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National</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2025</w:t>
            </w:r>
          </w:p>
        </w:tc>
        <w:tc>
          <w:tcPr>
            <w:tcW w:type="dxa" w:w="315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Best Paper Award — ChemNexus AI</w:t>
            </w:r>
          </w:p>
        </w:tc>
        <w:tc>
          <w:tcPr>
            <w:tcW w:type="dxa" w:w="351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People Power and Nurturing Human Capital Development</w:t>
            </w:r>
          </w:p>
        </w:tc>
        <w:tc>
          <w:tcPr>
            <w:tcW w:type="dxa" w:w="198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National</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2025</w:t>
            </w:r>
          </w:p>
        </w:tc>
        <w:tc>
          <w:tcPr>
            <w:tcW w:type="dxa" w:w="315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National Ingenuity Award — ChemNexus AI</w:t>
            </w:r>
          </w:p>
        </w:tc>
        <w:tc>
          <w:tcPr>
            <w:tcW w:type="dxa" w:w="351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Best Innovative Product</w:t>
            </w:r>
          </w:p>
        </w:tc>
        <w:tc>
          <w:tcPr>
            <w:tcW w:type="dxa" w:w="198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Provincial</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2026</w:t>
            </w:r>
          </w:p>
        </w:tc>
        <w:tc>
          <w:tcPr>
            <w:tcW w:type="dxa" w:w="315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National Ingenuity Award — FinLA</w:t>
            </w:r>
          </w:p>
        </w:tc>
        <w:tc>
          <w:tcPr>
            <w:tcW w:type="dxa" w:w="351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Best Innovative Product in FinTech &amp; Banking</w:t>
            </w:r>
          </w:p>
        </w:tc>
        <w:tc>
          <w:tcPr>
            <w:tcW w:type="dxa" w:w="198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Provincial</w:t>
            </w:r>
          </w:p>
        </w:tc>
      </w:tr>
      <w:tr>
        <w:tc>
          <w:tcPr>
            <w:tcW w:type="dxa" w:w="72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2026</w:t>
            </w:r>
          </w:p>
        </w:tc>
        <w:tc>
          <w:tcPr>
            <w:tcW w:type="dxa" w:w="3150"/>
            <w:vAlign w:val="center"/>
            <w:tcMar>
              <w:top w:w="80" w:type="dxa"/>
              <w:start w:w="120" w:type="dxa"/>
              <w:bottom w:w="80" w:type="dxa"/>
              <w:end w:w="120" w:type="dxa"/>
            </w:tcMar>
          </w:tcPr>
          <w:p>
            <w:pPr>
              <w:spacing w:after="0" w:line="252" w:lineRule="auto"/>
              <w:jc w:val="left"/>
            </w:pPr>
            <w:r>
              <w:rPr>
                <w:rFonts w:ascii="Calibri" w:hAnsi="Calibri"/>
                <w:b/>
                <w:i w:val="0"/>
                <w:color w:val="17365D"/>
                <w:sz w:val="16"/>
              </w:rPr>
              <w:t>National Ingenuity Award — SCOApp</w:t>
            </w:r>
          </w:p>
        </w:tc>
        <w:tc>
          <w:tcPr>
            <w:tcW w:type="dxa" w:w="3510"/>
            <w:vAlign w:val="center"/>
            <w:tcMar>
              <w:top w:w="80" w:type="dxa"/>
              <w:start w:w="120" w:type="dxa"/>
              <w:bottom w:w="80" w:type="dxa"/>
              <w:end w:w="120" w:type="dxa"/>
            </w:tcMar>
          </w:tcPr>
          <w:p>
            <w:pPr>
              <w:spacing w:after="0" w:line="252" w:lineRule="auto"/>
              <w:jc w:val="left"/>
            </w:pPr>
            <w:r>
              <w:rPr>
                <w:rFonts w:ascii="Calibri" w:hAnsi="Calibri"/>
                <w:b w:val="0"/>
                <w:i w:val="0"/>
                <w:color w:val="222222"/>
                <w:sz w:val="16"/>
              </w:rPr>
              <w:t>Best Innovative Product (Government)</w:t>
            </w:r>
          </w:p>
        </w:tc>
        <w:tc>
          <w:tcPr>
            <w:tcW w:type="dxa" w:w="1980"/>
            <w:vAlign w:val="center"/>
            <w:tcMar>
              <w:top w:w="80" w:type="dxa"/>
              <w:start w:w="120" w:type="dxa"/>
              <w:bottom w:w="80" w:type="dxa"/>
              <w:end w:w="120" w:type="dxa"/>
            </w:tcMar>
          </w:tcPr>
          <w:p>
            <w:pPr>
              <w:spacing w:after="0" w:line="252" w:lineRule="auto"/>
              <w:jc w:val="center"/>
            </w:pPr>
            <w:r>
              <w:rPr>
                <w:rFonts w:ascii="Calibri" w:hAnsi="Calibri"/>
                <w:b w:val="0"/>
                <w:i w:val="0"/>
                <w:color w:val="222222"/>
                <w:sz w:val="16"/>
              </w:rPr>
              <w:t>Provincial &amp; National</w:t>
            </w:r>
          </w:p>
        </w:tc>
      </w:tr>
    </w:tbl>
    <w:p>
      <w:pPr>
        <w:spacing w:after="28" w:line="269" w:lineRule="auto"/>
        <w:ind w:left="540" w:hanging="271"/>
        <w:numPr>
          <w:ilvl w:val="0"/>
          <w:numId w:val="42"/>
        </w:numPr>
      </w:pPr>
      <w:r>
        <w:rPr>
          <w:rFonts w:ascii="Calibri" w:hAnsi="Calibri"/>
          <w:b w:val="0"/>
          <w:i w:val="0"/>
          <w:color w:val="222222"/>
          <w:sz w:val="18"/>
        </w:rPr>
        <w:t>Course for Assistant Leader Trainers — Sri Lanka Scout Association</w:t>
      </w:r>
    </w:p>
    <w:p>
      <w:pPr>
        <w:spacing w:after="28" w:line="269" w:lineRule="auto"/>
        <w:ind w:left="540" w:hanging="271"/>
        <w:numPr>
          <w:ilvl w:val="0"/>
          <w:numId w:val="42"/>
        </w:numPr>
      </w:pPr>
      <w:r>
        <w:rPr>
          <w:rFonts w:ascii="Calibri" w:hAnsi="Calibri"/>
          <w:b w:val="0"/>
          <w:i w:val="0"/>
          <w:color w:val="222222"/>
          <w:sz w:val="18"/>
        </w:rPr>
        <w:t>Wood Badge Holder for Rover Scout (National), 2017</w:t>
      </w:r>
    </w:p>
    <w:p>
      <w:pPr>
        <w:spacing w:after="28" w:line="269" w:lineRule="auto"/>
        <w:ind w:left="540" w:hanging="271"/>
        <w:numPr>
          <w:ilvl w:val="0"/>
          <w:numId w:val="42"/>
        </w:numPr>
      </w:pPr>
      <w:r>
        <w:rPr>
          <w:rFonts w:ascii="Calibri" w:hAnsi="Calibri"/>
          <w:b w:val="0"/>
          <w:i w:val="0"/>
          <w:color w:val="222222"/>
          <w:sz w:val="18"/>
        </w:rPr>
        <w:t>Baden-Powell Award (National), BP/003/2009</w:t>
      </w:r>
    </w:p>
    <w:p>
      <w:pPr>
        <w:spacing w:after="28" w:line="269" w:lineRule="auto"/>
        <w:ind w:left="540" w:hanging="271"/>
        <w:numPr>
          <w:ilvl w:val="0"/>
          <w:numId w:val="42"/>
        </w:numPr>
      </w:pPr>
      <w:r>
        <w:rPr>
          <w:rFonts w:ascii="Calibri" w:hAnsi="Calibri"/>
          <w:b w:val="0"/>
          <w:i w:val="0"/>
          <w:color w:val="222222"/>
          <w:sz w:val="18"/>
        </w:rPr>
        <w:t>12 Years’ Service Award — National Service Medal, St. John Ambulance Brigade</w:t>
      </w:r>
    </w:p>
    <w:p>
      <w:pPr>
        <w:spacing w:after="28" w:line="269" w:lineRule="auto"/>
        <w:ind w:left="540" w:hanging="271"/>
        <w:numPr>
          <w:ilvl w:val="0"/>
          <w:numId w:val="42"/>
        </w:numPr>
      </w:pPr>
      <w:r>
        <w:rPr>
          <w:rFonts w:ascii="Calibri" w:hAnsi="Calibri"/>
          <w:b w:val="0"/>
          <w:i w:val="0"/>
          <w:color w:val="222222"/>
          <w:sz w:val="18"/>
        </w:rPr>
        <w:t>Young Artist Award of Appreciation, Eastern Province, 2016</w:t>
      </w:r>
    </w:p>
    <w:p>
      <w:pPr>
        <w:pStyle w:val="Heading1"/>
        <w:keepNext/>
      </w:pPr>
      <w:r>
        <w:t>PROFESSIONAL MEMBERSHIPS</w:t>
      </w:r>
    </w:p>
    <w:p>
      <w:pPr>
        <w:spacing w:after="30" w:line="269" w:lineRule="auto"/>
        <w:ind w:left="540" w:hanging="271"/>
        <w:numPr>
          <w:ilvl w:val="0"/>
          <w:numId w:val="42"/>
        </w:numPr>
      </w:pPr>
      <w:r>
        <w:rPr>
          <w:rFonts w:ascii="Calibri" w:hAnsi="Calibri"/>
          <w:b w:val="0"/>
          <w:i w:val="0"/>
          <w:color w:val="222222"/>
          <w:sz w:val="19"/>
        </w:rPr>
        <w:t>MBCS — Professional Member, British Computer Society (ID: 995122494)</w:t>
      </w:r>
    </w:p>
    <w:p>
      <w:pPr>
        <w:spacing w:after="30" w:line="269" w:lineRule="auto"/>
        <w:ind w:left="540" w:hanging="271"/>
        <w:numPr>
          <w:ilvl w:val="0"/>
          <w:numId w:val="42"/>
        </w:numPr>
      </w:pPr>
      <w:r>
        <w:rPr>
          <w:rFonts w:ascii="Calibri" w:hAnsi="Calibri"/>
          <w:b w:val="0"/>
          <w:i w:val="0"/>
          <w:color w:val="222222"/>
          <w:sz w:val="19"/>
        </w:rPr>
        <w:t>CSSL — Member, Computer Society of Sri Lanka (ID: M1029)</w:t>
      </w:r>
    </w:p>
    <w:p>
      <w:pPr>
        <w:spacing w:after="30" w:line="269" w:lineRule="auto"/>
        <w:ind w:left="540" w:hanging="271"/>
        <w:numPr>
          <w:ilvl w:val="0"/>
          <w:numId w:val="42"/>
        </w:numPr>
      </w:pPr>
      <w:r>
        <w:rPr>
          <w:rFonts w:ascii="Calibri" w:hAnsi="Calibri"/>
          <w:b w:val="0"/>
          <w:i w:val="0"/>
          <w:color w:val="222222"/>
          <w:sz w:val="19"/>
        </w:rPr>
        <w:t>AACS — Associate Member, Australian Computer Society (ID: 3134070)</w:t>
      </w:r>
    </w:p>
    <w:p>
      <w:pPr>
        <w:pStyle w:val="Heading1"/>
        <w:keepNext/>
      </w:pPr>
      <w:r>
        <w:t>SELECTED PROFESSIONAL DEVELOPMENT</w:t>
      </w:r>
    </w:p>
    <w:p>
      <w:pPr>
        <w:spacing w:after="24" w:line="269" w:lineRule="auto"/>
        <w:ind w:left="540" w:hanging="271"/>
        <w:numPr>
          <w:ilvl w:val="0"/>
          <w:numId w:val="42"/>
        </w:numPr>
      </w:pPr>
      <w:r>
        <w:rPr>
          <w:rFonts w:ascii="Calibri" w:hAnsi="Calibri"/>
          <w:b w:val="0"/>
          <w:i w:val="0"/>
          <w:color w:val="222222"/>
          <w:sz w:val="18"/>
        </w:rPr>
        <w:t>Quantum Computing — CDAC Hyderabad &amp; IIT Roorkee, supported by India’s Ministry of Electronics and Information Technology (2025)</w:t>
      </w:r>
    </w:p>
    <w:p>
      <w:pPr>
        <w:spacing w:after="24" w:line="269" w:lineRule="auto"/>
        <w:ind w:left="540" w:hanging="271"/>
        <w:numPr>
          <w:ilvl w:val="0"/>
          <w:numId w:val="42"/>
        </w:numPr>
      </w:pPr>
      <w:r>
        <w:rPr>
          <w:rFonts w:ascii="Calibri" w:hAnsi="Calibri"/>
          <w:b w:val="0"/>
          <w:i w:val="0"/>
          <w:color w:val="222222"/>
          <w:sz w:val="18"/>
        </w:rPr>
        <w:t>Digital Citizenship Safety &amp; Hygiene (2023)</w:t>
      </w:r>
    </w:p>
    <w:p>
      <w:pPr>
        <w:spacing w:after="24" w:line="269" w:lineRule="auto"/>
        <w:ind w:left="540" w:hanging="271"/>
        <w:numPr>
          <w:ilvl w:val="0"/>
          <w:numId w:val="42"/>
        </w:numPr>
      </w:pPr>
      <w:r>
        <w:rPr>
          <w:rFonts w:ascii="Calibri" w:hAnsi="Calibri"/>
          <w:b w:val="0"/>
          <w:i w:val="0"/>
          <w:color w:val="222222"/>
          <w:sz w:val="18"/>
        </w:rPr>
        <w:t>Introduction to Cyber Security Principles (2021)</w:t>
      </w:r>
    </w:p>
    <w:p>
      <w:pPr>
        <w:spacing w:after="24" w:line="269" w:lineRule="auto"/>
        <w:ind w:left="540" w:hanging="271"/>
        <w:numPr>
          <w:ilvl w:val="0"/>
          <w:numId w:val="42"/>
        </w:numPr>
      </w:pPr>
      <w:r>
        <w:rPr>
          <w:rFonts w:ascii="Calibri" w:hAnsi="Calibri"/>
          <w:b w:val="0"/>
          <w:i w:val="0"/>
          <w:color w:val="222222"/>
          <w:sz w:val="18"/>
        </w:rPr>
        <w:t>Korean e-Learning Improvement Cooperation Programme (2020)</w:t>
      </w:r>
    </w:p>
    <w:p>
      <w:pPr>
        <w:spacing w:after="24" w:line="269" w:lineRule="auto"/>
        <w:ind w:left="540" w:hanging="271"/>
        <w:numPr>
          <w:ilvl w:val="0"/>
          <w:numId w:val="42"/>
        </w:numPr>
      </w:pPr>
      <w:r>
        <w:rPr>
          <w:rFonts w:ascii="Calibri" w:hAnsi="Calibri"/>
          <w:b w:val="0"/>
          <w:i w:val="0"/>
          <w:color w:val="222222"/>
          <w:sz w:val="18"/>
        </w:rPr>
        <w:t>Mobile Application Development — University of Colombo School of Computing (2017)</w:t>
      </w:r>
    </w:p>
    <w:p>
      <w:pPr>
        <w:spacing w:after="24" w:line="269" w:lineRule="auto"/>
        <w:ind w:left="540" w:hanging="271"/>
        <w:numPr>
          <w:ilvl w:val="0"/>
          <w:numId w:val="42"/>
        </w:numPr>
      </w:pPr>
      <w:r>
        <w:rPr>
          <w:rFonts w:ascii="Calibri" w:hAnsi="Calibri"/>
          <w:b w:val="0"/>
          <w:i w:val="0"/>
          <w:color w:val="222222"/>
          <w:sz w:val="18"/>
        </w:rPr>
        <w:t>Oracle MySQL 5 Certified Associate Exam (1Z0-870)</w:t>
      </w:r>
    </w:p>
    <w:p>
      <w:pPr>
        <w:spacing w:after="24" w:line="269" w:lineRule="auto"/>
        <w:ind w:left="540" w:hanging="271"/>
        <w:numPr>
          <w:ilvl w:val="0"/>
          <w:numId w:val="42"/>
        </w:numPr>
      </w:pPr>
      <w:r>
        <w:rPr>
          <w:rFonts w:ascii="Calibri" w:hAnsi="Calibri"/>
          <w:b w:val="0"/>
          <w:i w:val="0"/>
          <w:color w:val="222222"/>
          <w:sz w:val="18"/>
        </w:rPr>
        <w:t>Industrial Development Expert in Java SE at Industrial Master (2015)</w:t>
      </w:r>
    </w:p>
    <w:p>
      <w:pPr>
        <w:spacing w:after="24" w:line="269" w:lineRule="auto"/>
        <w:ind w:left="540" w:hanging="271"/>
        <w:numPr>
          <w:ilvl w:val="0"/>
          <w:numId w:val="42"/>
        </w:numPr>
      </w:pPr>
      <w:r>
        <w:rPr>
          <w:rFonts w:ascii="Calibri" w:hAnsi="Calibri"/>
          <w:b w:val="0"/>
          <w:i w:val="0"/>
          <w:color w:val="222222"/>
          <w:sz w:val="18"/>
        </w:rPr>
        <w:t>Diploma in Network Administration (2005)</w:t>
      </w:r>
    </w:p>
    <w:p>
      <w:pPr>
        <w:spacing w:after="24" w:line="269" w:lineRule="auto"/>
        <w:ind w:left="540" w:hanging="271"/>
        <w:numPr>
          <w:ilvl w:val="0"/>
          <w:numId w:val="42"/>
        </w:numPr>
      </w:pPr>
      <w:r>
        <w:rPr>
          <w:rFonts w:ascii="Calibri" w:hAnsi="Calibri"/>
          <w:b w:val="0"/>
          <w:i w:val="0"/>
          <w:color w:val="222222"/>
          <w:sz w:val="18"/>
        </w:rPr>
        <w:t>Diploma in Computer Hardware Engineering with Networking (2002)</w:t>
      </w:r>
    </w:p>
    <w:p>
      <w:pPr>
        <w:spacing w:after="24" w:line="269" w:lineRule="auto"/>
        <w:ind w:left="540" w:hanging="271"/>
        <w:numPr>
          <w:ilvl w:val="0"/>
          <w:numId w:val="42"/>
        </w:numPr>
      </w:pPr>
      <w:r>
        <w:rPr>
          <w:rFonts w:ascii="Calibri" w:hAnsi="Calibri"/>
          <w:b w:val="0"/>
          <w:i w:val="0"/>
          <w:color w:val="222222"/>
          <w:sz w:val="18"/>
        </w:rPr>
        <w:t>Visual Basic Programming</w:t>
      </w:r>
    </w:p>
    <w:p>
      <w:pPr>
        <w:pStyle w:val="Heading1"/>
        <w:keepNext/>
      </w:pPr>
      <w:r>
        <w:t>LEADERSHIP &amp; COMMUNITY SERVICE</w:t>
      </w:r>
    </w:p>
    <w:p>
      <w:pPr>
        <w:spacing w:after="26" w:line="269" w:lineRule="auto"/>
        <w:ind w:left="540" w:hanging="271"/>
        <w:numPr>
          <w:ilvl w:val="0"/>
          <w:numId w:val="42"/>
        </w:numPr>
      </w:pPr>
      <w:r>
        <w:rPr>
          <w:rFonts w:ascii="Calibri" w:hAnsi="Calibri"/>
          <w:b w:val="0"/>
          <w:i w:val="0"/>
          <w:color w:val="222222"/>
          <w:sz w:val="18"/>
        </w:rPr>
        <w:t>National Headquarters Commissioner, Sri Lanka Scout Association, Colombo (2023–2025)</w:t>
      </w:r>
    </w:p>
    <w:p>
      <w:pPr>
        <w:spacing w:after="26" w:line="269" w:lineRule="auto"/>
        <w:ind w:left="540" w:hanging="271"/>
        <w:numPr>
          <w:ilvl w:val="0"/>
          <w:numId w:val="42"/>
        </w:numPr>
      </w:pPr>
      <w:r>
        <w:rPr>
          <w:rFonts w:ascii="Calibri" w:hAnsi="Calibri"/>
          <w:b w:val="0"/>
          <w:i w:val="0"/>
          <w:color w:val="222222"/>
          <w:sz w:val="18"/>
        </w:rPr>
        <w:t>Assistant National Headquarters Commissioner, Sri Lanka Scout Association, Colombo (2018–2023)</w:t>
      </w:r>
    </w:p>
    <w:p>
      <w:pPr>
        <w:spacing w:after="26" w:line="269" w:lineRule="auto"/>
        <w:ind w:left="540" w:hanging="271"/>
        <w:numPr>
          <w:ilvl w:val="0"/>
          <w:numId w:val="42"/>
        </w:numPr>
      </w:pPr>
      <w:r>
        <w:rPr>
          <w:rFonts w:ascii="Calibri" w:hAnsi="Calibri"/>
          <w:b w:val="0"/>
          <w:i w:val="0"/>
          <w:color w:val="222222"/>
          <w:sz w:val="18"/>
        </w:rPr>
        <w:t>Trainer, National Training Team, St. John Ambulance Brigade, Sri Lanka</w:t>
      </w:r>
    </w:p>
    <w:p>
      <w:pPr>
        <w:spacing w:after="26" w:line="269" w:lineRule="auto"/>
        <w:ind w:left="540" w:hanging="271"/>
        <w:numPr>
          <w:ilvl w:val="0"/>
          <w:numId w:val="42"/>
        </w:numPr>
      </w:pPr>
      <w:r>
        <w:rPr>
          <w:rFonts w:ascii="Calibri" w:hAnsi="Calibri"/>
          <w:b w:val="0"/>
          <w:i w:val="0"/>
          <w:color w:val="222222"/>
          <w:sz w:val="18"/>
        </w:rPr>
        <w:t>Assistant District Commissioner, St. John Ambulance Brigade, Trincomalee</w:t>
      </w:r>
    </w:p>
    <w:p>
      <w:pPr>
        <w:spacing w:after="26" w:line="269" w:lineRule="auto"/>
        <w:ind w:left="540" w:hanging="271"/>
        <w:numPr>
          <w:ilvl w:val="0"/>
          <w:numId w:val="42"/>
        </w:numPr>
      </w:pPr>
      <w:r>
        <w:rPr>
          <w:rFonts w:ascii="Calibri" w:hAnsi="Calibri"/>
          <w:b w:val="0"/>
          <w:i w:val="0"/>
          <w:color w:val="222222"/>
          <w:sz w:val="18"/>
        </w:rPr>
        <w:t>Member and official volunteer, Google Education Forum</w:t>
      </w:r>
    </w:p>
    <w:p>
      <w:pPr>
        <w:pStyle w:val="Heading1"/>
        <w:keepNext/>
      </w:pPr>
      <w:r>
        <w:t>REFEREES</w:t>
      </w:r>
    </w:p>
    <w:tbl>
      <w:tblPr>
        <w:tblW w:type="dxa" w:w="9360"/>
        <w:jc w:val="left"/>
        <w:tblLayout w:type="fixed"/>
        <w:tblLook w:firstColumn="1" w:firstRow="1" w:lastColumn="0" w:lastRow="0" w:noHBand="0" w:noVBand="1" w:val="04A0"/>
        <w:tblInd w:w="120" w:type="dxa"/>
        <w:tblBorders>
          <w:top w:val="single" w:sz="6" w:space="0" w:color="CDD5DF"/>
          <w:left w:val="single" w:sz="6" w:space="0" w:color="CDD5DF"/>
          <w:bottom w:val="single" w:sz="6" w:space="0" w:color="CDD5DF"/>
          <w:right w:val="single" w:sz="6" w:space="0" w:color="CDD5DF"/>
          <w:insideH w:val="single" w:sz="6" w:space="0" w:color="CDD5DF"/>
          <w:insideV w:val="single" w:sz="6" w:space="0" w:color="CDD5DF"/>
        </w:tblBorders>
      </w:tblPr>
      <w:tblGrid>
        <w:gridCol w:w="4680"/>
        <w:gridCol w:w="4680"/>
      </w:tblGrid>
      <w:tr>
        <w:trPr>
          <w:cantSplit/>
        </w:trPr>
        <w:tc>
          <w:tcPr>
            <w:tcW w:type="dxa" w:w="4680"/>
            <w:shd w:fill="F4F6F9"/>
            <w:vAlign w:val="center"/>
            <w:tcMar>
              <w:top w:w="80" w:type="dxa"/>
              <w:start w:w="120" w:type="dxa"/>
              <w:bottom w:w="80" w:type="dxa"/>
              <w:end w:w="120" w:type="dxa"/>
            </w:tcMar>
          </w:tcPr>
          <w:p>
            <w:pPr>
              <w:spacing w:after="40"/>
            </w:pPr>
            <w:r>
              <w:rPr>
                <w:rFonts w:ascii="Calibri" w:hAnsi="Calibri"/>
                <w:b/>
                <w:i w:val="0"/>
                <w:color w:val="17365D"/>
                <w:sz w:val="19"/>
              </w:rPr>
              <w:t>Mr. Saminda Premaratne</w:t>
            </w:r>
          </w:p>
          <w:p>
            <w:pPr>
              <w:spacing w:after="16"/>
            </w:pPr>
            <w:r>
              <w:rPr>
                <w:rFonts w:ascii="Calibri" w:hAnsi="Calibri"/>
                <w:b w:val="0"/>
                <w:i w:val="0"/>
                <w:color w:val="222222"/>
                <w:sz w:val="17"/>
              </w:rPr>
              <w:t>Senior Lecturer, Department of Information Technology</w:t>
            </w:r>
          </w:p>
          <w:p>
            <w:pPr>
              <w:spacing w:after="16"/>
            </w:pPr>
            <w:r>
              <w:rPr>
                <w:rFonts w:ascii="Calibri" w:hAnsi="Calibri"/>
                <w:b w:val="0"/>
                <w:i w:val="0"/>
                <w:color w:val="222222"/>
                <w:sz w:val="17"/>
              </w:rPr>
              <w:t>Faculty of Information Technology, University of Moratuwa</w:t>
            </w:r>
          </w:p>
          <w:p>
            <w:pPr>
              <w:spacing w:after="16"/>
            </w:pPr>
            <w:r>
              <w:rPr>
                <w:rFonts w:ascii="Calibri" w:hAnsi="Calibri"/>
                <w:b w:val="0"/>
                <w:i w:val="0"/>
                <w:color w:val="222222"/>
                <w:sz w:val="17"/>
              </w:rPr>
              <w:t>Mobile: +94 71 441 3362</w:t>
            </w:r>
          </w:p>
        </w:tc>
        <w:tc>
          <w:tcPr>
            <w:tcW w:type="dxa" w:w="4680"/>
            <w:shd w:fill="F4F6F9"/>
            <w:vAlign w:val="center"/>
            <w:tcMar>
              <w:top w:w="80" w:type="dxa"/>
              <w:start w:w="120" w:type="dxa"/>
              <w:bottom w:w="80" w:type="dxa"/>
              <w:end w:w="120" w:type="dxa"/>
            </w:tcMar>
          </w:tcPr>
          <w:p>
            <w:pPr>
              <w:spacing w:after="40"/>
            </w:pPr>
            <w:r>
              <w:rPr>
                <w:rFonts w:ascii="Calibri" w:hAnsi="Calibri"/>
                <w:b/>
                <w:i w:val="0"/>
                <w:color w:val="17365D"/>
                <w:sz w:val="19"/>
              </w:rPr>
              <w:t>Mr. K. Kunanathan</w:t>
            </w:r>
          </w:p>
          <w:p>
            <w:pPr>
              <w:spacing w:after="16"/>
            </w:pPr>
            <w:r>
              <w:rPr>
                <w:rFonts w:ascii="Calibri" w:hAnsi="Calibri"/>
                <w:b w:val="0"/>
                <w:i w:val="0"/>
                <w:color w:val="222222"/>
                <w:sz w:val="17"/>
              </w:rPr>
              <w:t>Secretary, Provincial Ministry of Education</w:t>
            </w:r>
          </w:p>
          <w:p>
            <w:pPr>
              <w:spacing w:after="16"/>
            </w:pPr>
            <w:r>
              <w:rPr>
                <w:rFonts w:ascii="Calibri" w:hAnsi="Calibri"/>
                <w:b w:val="0"/>
                <w:i w:val="0"/>
                <w:color w:val="222222"/>
                <w:sz w:val="17"/>
              </w:rPr>
              <w:t>Eastern Province, Trincomalee, Sri Lanka</w:t>
            </w:r>
          </w:p>
          <w:p>
            <w:pPr>
              <w:spacing w:after="16"/>
            </w:pPr>
            <w:r>
              <w:rPr>
                <w:rFonts w:ascii="Calibri" w:hAnsi="Calibri"/>
                <w:b w:val="0"/>
                <w:i w:val="0"/>
                <w:color w:val="222222"/>
                <w:sz w:val="17"/>
              </w:rPr>
              <w:t>Mobile: +94 77 387 6366</w:t>
            </w:r>
          </w:p>
        </w:tc>
      </w:tr>
    </w:tbl>
    <w:sectPr w:rsidR="00FC693F" w:rsidRPr="0006063C" w:rsidSect="00034616">
      <w:headerReference w:type="default" r:id="rId9"/>
      <w:footerReference w:type="default" r:id="rId10"/>
      <w:footerReference w:type="first" r:id="rId11"/>
      <w:pgSz w:w="12240" w:h="15840"/>
      <w:pgMar w:top="893" w:right="1440" w:bottom="792" w:left="1440" w:header="461" w:footer="49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F6B78"/>
        <w:sz w:val="17"/>
      </w:rPr>
      <w:t xml:space="preserve">Page </w:t>
    </w:r>
    <w:r>
      <w:rPr>
        <w:rFonts w:ascii="Calibri" w:hAnsi="Calibri"/>
        <w:b w:val="0"/>
        <w:i w:val="0"/>
        <w:color w:val="5F6B78"/>
        <w:sz w:val="17"/>
      </w:rP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F6B78"/>
        <w:sz w:val="17"/>
      </w:rPr>
      <w:t xml:space="preserve">Page </w:t>
    </w:r>
    <w:r>
      <w:rPr>
        <w:rFonts w:ascii="Calibri" w:hAnsi="Calibri"/>
        <w:b w:val="0"/>
        <w:i w:val="0"/>
        <w:color w:val="5F6B78"/>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after="0"/>
      <w:jc w:val="left"/>
    </w:pPr>
    <w:r>
      <w:rPr>
        <w:rFonts w:ascii="Calibri" w:hAnsi="Calibri"/>
        <w:b/>
        <w:i w:val="0"/>
        <w:color w:val="17365D"/>
        <w:sz w:val="17"/>
      </w:rPr>
      <w:t>DON BOSCO PRASHANTH</w:t>
    </w:r>
    <w:r>
      <w:rPr>
        <w:rFonts w:ascii="Calibri" w:hAnsi="Calibri"/>
        <w:b/>
        <w:i w:val="0"/>
        <w:color w:val="5F6B78"/>
        <w:sz w:val="17"/>
      </w:rPr>
      <w:tab/>
      <w:t>PROFESSIONAL RESUME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42">
    <w:multiLevelType w:val="singleLevel"/>
    <w:lvl w:ilvl="0">
      <w:start w:val="1"/>
      <w:numFmt w:val="bullet"/>
      <w:lvlText w:val="•"/>
      <w:lvlJc w:val="left"/>
      <w:pPr>
        <w:tabs>
          <w:tab w:val="num" w:pos="540"/>
        </w:tabs>
        <w:ind w:left="540" w:hanging="270"/>
        <w:spacing w:after="80" w:line="300" w:lineRule="auto"/>
      </w:pPr>
      <w:rPr>
        <w:rFonts w:ascii="Calibri" w:hAnsi="Calibri"/>
        <w:color w:val="2E74B5"/>
      </w:rPr>
    </w:lvl>
  </w:abstract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9" w:lineRule="auto"/>
    </w:pPr>
    <w:rPr>
      <w:rFonts w:ascii="Calibri" w:hAnsi="Calibri"/>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Calibri" w:hAnsi="Calibri"/>
      <w:b/>
      <w:bCs/>
      <w:color w:val="17365D"/>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Resume — Don Bosco Prashanth</dc:title>
  <dc:subject>Information Technology, Education, Research and Public-Sector Innovation</dc:subject>
  <dc:creator>Don Bosco Prashanth</dc:creator>
  <cp:keywords>IT professional, educator, researcher, system architect, EMS360, AI</cp:keywords>
  <dc:description>generated by python-docx</dc:description>
  <cp:lastModifiedBy/>
  <cp:revision>1</cp:revision>
  <dcterms:created xsi:type="dcterms:W3CDTF">2013-12-23T23:15:00Z</dcterms:created>
  <dcterms:modified xsi:type="dcterms:W3CDTF">2013-12-23T23:15:00Z</dcterms:modified>
  <cp:category/>
</cp:coreProperties>
</file>